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F723" w14:textId="77777777" w:rsidR="00D45F25" w:rsidRPr="00D45F25" w:rsidRDefault="00D45F25" w:rsidP="00D45F25">
      <w:pPr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756450"/>
          <w:kern w:val="36"/>
          <w:sz w:val="48"/>
          <w:szCs w:val="48"/>
        </w:rPr>
      </w:pPr>
      <w:r w:rsidRPr="00D45F25">
        <w:rPr>
          <w:rFonts w:ascii="Arial" w:eastAsia="Times New Roman" w:hAnsi="Arial" w:cs="Arial"/>
          <w:b/>
          <w:bCs/>
          <w:color w:val="756450"/>
          <w:kern w:val="36"/>
          <w:sz w:val="48"/>
          <w:szCs w:val="48"/>
        </w:rPr>
        <w:t>Premenstrual Dysphoric Disorder DSM-5 625.4 (N94.3)</w:t>
      </w:r>
    </w:p>
    <w:p w14:paraId="5F1FE815" w14:textId="77777777" w:rsidR="00D45F25" w:rsidRDefault="00D45F25" w:rsidP="00D45F25">
      <w:pPr>
        <w:spacing w:after="360" w:line="240" w:lineRule="auto"/>
        <w:rPr>
          <w:rFonts w:ascii="&amp;quot" w:eastAsia="Times New Roman" w:hAnsi="&amp;quot" w:cs="Times New Roman"/>
          <w:color w:val="2C2D30"/>
          <w:sz w:val="27"/>
          <w:szCs w:val="27"/>
        </w:rPr>
      </w:pPr>
    </w:p>
    <w:p w14:paraId="66175CD2" w14:textId="77777777" w:rsidR="00D45F25" w:rsidRPr="00D45F25" w:rsidRDefault="00D45F25" w:rsidP="00D45F25">
      <w:pPr>
        <w:spacing w:after="360" w:line="240" w:lineRule="auto"/>
        <w:rPr>
          <w:rFonts w:ascii="&amp;quot" w:eastAsia="Times New Roman" w:hAnsi="&amp;quot" w:cs="Times New Roman"/>
          <w:color w:val="2C2D30"/>
          <w:sz w:val="27"/>
          <w:szCs w:val="27"/>
        </w:rPr>
      </w:pPr>
      <w:r w:rsidRPr="00D45F25">
        <w:rPr>
          <w:rFonts w:ascii="&amp;quot" w:eastAsia="Times New Roman" w:hAnsi="&amp;quot" w:cs="Times New Roman"/>
          <w:color w:val="2C2D30"/>
          <w:sz w:val="27"/>
          <w:szCs w:val="27"/>
        </w:rPr>
        <w:t>PMDD appears as a "depressive disorder not otherwise specified." In the DSM-IV, the criteria are as follows:</w:t>
      </w:r>
    </w:p>
    <w:p w14:paraId="2950D369" w14:textId="77777777" w:rsidR="00D45F25" w:rsidRPr="00D45F25" w:rsidRDefault="00D45F25" w:rsidP="00D45F25">
      <w:pPr>
        <w:spacing w:after="100" w:line="240" w:lineRule="auto"/>
        <w:rPr>
          <w:rFonts w:ascii="&amp;quot" w:eastAsia="Times New Roman" w:hAnsi="&amp;quot" w:cs="Times New Roman"/>
          <w:color w:val="2C2D30"/>
          <w:sz w:val="26"/>
          <w:szCs w:val="26"/>
        </w:rPr>
      </w:pPr>
      <w:r w:rsidRPr="00D45F25">
        <w:rPr>
          <w:rFonts w:ascii="&amp;quot" w:eastAsia="Times New Roman" w:hAnsi="&amp;quot" w:cs="Times New Roman"/>
          <w:color w:val="2C2D30"/>
          <w:sz w:val="26"/>
          <w:szCs w:val="26"/>
        </w:rPr>
        <w:t xml:space="preserve">"In most menstrual cycles during the past year, symptoms (e.g., markedly </w:t>
      </w:r>
      <w:hyperlink r:id="rId4" w:tooltip="Psychology Today looks at depressed" w:history="1">
        <w:r w:rsidRPr="00D45F25">
          <w:rPr>
            <w:rFonts w:ascii="inherit" w:eastAsia="Times New Roman" w:hAnsi="inherit" w:cs="Times New Roman"/>
            <w:color w:val="2C2D30"/>
            <w:sz w:val="26"/>
            <w:szCs w:val="26"/>
            <w:u w:val="single"/>
          </w:rPr>
          <w:t>depressed</w:t>
        </w:r>
      </w:hyperlink>
      <w:r w:rsidRPr="00D45F25">
        <w:rPr>
          <w:rFonts w:ascii="&amp;quot" w:eastAsia="Times New Roman" w:hAnsi="&amp;quot" w:cs="Times New Roman"/>
          <w:color w:val="2C2D30"/>
          <w:sz w:val="26"/>
          <w:szCs w:val="26"/>
        </w:rPr>
        <w:t xml:space="preserve"> mood, marked </w:t>
      </w:r>
      <w:hyperlink r:id="rId5" w:tooltip="Psychology Today looks at anxiety" w:history="1">
        <w:r w:rsidRPr="00D45F25">
          <w:rPr>
            <w:rFonts w:ascii="inherit" w:eastAsia="Times New Roman" w:hAnsi="inherit" w:cs="Times New Roman"/>
            <w:color w:val="2C2D30"/>
            <w:sz w:val="26"/>
            <w:szCs w:val="26"/>
            <w:u w:val="single"/>
          </w:rPr>
          <w:t>anxiety</w:t>
        </w:r>
      </w:hyperlink>
      <w:r w:rsidRPr="00D45F25">
        <w:rPr>
          <w:rFonts w:ascii="&amp;quot" w:eastAsia="Times New Roman" w:hAnsi="&amp;quot" w:cs="Times New Roman"/>
          <w:color w:val="2C2D30"/>
          <w:sz w:val="26"/>
          <w:szCs w:val="26"/>
        </w:rPr>
        <w:t xml:space="preserve">, marked affective lability, decreased interest in activities) regularly occurred during the last week of the luteal phase (and remitted within a few days of the onset of menses). These symptoms must be severe enough to markedly interfere with work, school, or unusual activities and be entirely absent for at least 1 week post menses" (American </w:t>
      </w:r>
      <w:hyperlink r:id="rId6" w:tooltip="Psychology Today looks at Psychiatric" w:history="1">
        <w:r w:rsidRPr="00D45F25">
          <w:rPr>
            <w:rFonts w:ascii="inherit" w:eastAsia="Times New Roman" w:hAnsi="inherit" w:cs="Times New Roman"/>
            <w:color w:val="2C2D30"/>
            <w:sz w:val="26"/>
            <w:szCs w:val="26"/>
            <w:u w:val="single"/>
          </w:rPr>
          <w:t>Psychiatric</w:t>
        </w:r>
      </w:hyperlink>
      <w:r w:rsidRPr="00D45F25">
        <w:rPr>
          <w:rFonts w:ascii="&amp;quot" w:eastAsia="Times New Roman" w:hAnsi="&amp;quot" w:cs="Times New Roman"/>
          <w:color w:val="2C2D30"/>
          <w:sz w:val="26"/>
          <w:szCs w:val="26"/>
        </w:rPr>
        <w:t xml:space="preserve"> Association [DSM-IV-TR], 2000).</w:t>
      </w:r>
    </w:p>
    <w:p w14:paraId="3345D47B" w14:textId="77777777" w:rsidR="00F524F5" w:rsidRDefault="00D45F25">
      <w:pPr>
        <w:rPr>
          <w:rFonts w:ascii="Arial" w:hAnsi="Arial" w:cs="Arial"/>
          <w:color w:val="2C2D3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A</w:t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. In most menstrual cycles during the past year, five (or more) of the following symptoms occurred during the final week before the onset of menses, started to improve within a few days after the onset of menses, and were minimal or absent in the week </w:t>
      </w:r>
      <w:proofErr w:type="spellStart"/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postmenses</w:t>
      </w:r>
      <w:proofErr w:type="spellEnd"/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, with at least one of the symptoms being either (1), (2), (3), or (4):</w:t>
      </w:r>
    </w:p>
    <w:p w14:paraId="1CCB24EF" w14:textId="145245A0" w:rsidR="006F5456" w:rsidRDefault="00D45F25">
      <w:pPr>
        <w:rPr>
          <w:rFonts w:ascii="Arial" w:hAnsi="Arial" w:cs="Arial"/>
          <w:color w:val="2C2D3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(1) marked affective </w:t>
      </w:r>
      <w:proofErr w:type="spellStart"/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laibility</w:t>
      </w:r>
      <w:proofErr w:type="spellEnd"/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 (e.g., mood swings; feeling suddenly sad or tearful or increased sensitivity to rejection)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(2) marked irritability or </w:t>
      </w:r>
      <w:hyperlink r:id="rId7" w:tooltip="Psychology Today looks at anger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anger</w:t>
        </w:r>
      </w:hyperlink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 or increased interpersonal conflicts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(3) markedly depressed mood, feelings of hopelessness, or self-deprecating thoughts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(4) marked anxiety, tension, feelings of being "keyed up" or "on edge"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(5) decreased interest in usual activities (e.g., work, school, friends, hobbies)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(6) subjective sense of difficulty in </w:t>
      </w:r>
      <w:hyperlink r:id="rId8" w:tooltip="Psychology Today looks at concentration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concentration</w:t>
        </w:r>
      </w:hyperlink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(7) lethargy, easy fatigability, or marked lack of energy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(8) marked change in </w:t>
      </w:r>
      <w:hyperlink r:id="rId9" w:tooltip="Psychology Today looks at appetite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appetite</w:t>
        </w:r>
      </w:hyperlink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, overeating, or specific food cravings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(9) </w:t>
      </w:r>
      <w:hyperlink r:id="rId10" w:tooltip="Psychology Today looks at hypersomnia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hypersomnia</w:t>
        </w:r>
      </w:hyperlink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 xml:space="preserve"> or </w:t>
      </w:r>
      <w:hyperlink r:id="rId11" w:tooltip="Psychology Today looks at insomnia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insomnia</w:t>
        </w:r>
      </w:hyperlink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(10) a subjective sense of being overwhelmed or out of control</w:t>
      </w:r>
      <w:r>
        <w:rPr>
          <w:rFonts w:ascii="&amp;quot" w:hAnsi="&amp;quot"/>
          <w:color w:val="2C2D30"/>
          <w:sz w:val="27"/>
          <w:szCs w:val="27"/>
        </w:rPr>
        <w:br/>
      </w:r>
      <w:r>
        <w:rPr>
          <w:rFonts w:ascii="Arial" w:hAnsi="Arial" w:cs="Arial"/>
          <w:color w:val="2C2D30"/>
          <w:sz w:val="27"/>
          <w:szCs w:val="27"/>
          <w:shd w:val="clear" w:color="auto" w:fill="FFFFFF"/>
        </w:rPr>
        <w:t>(11) other physical symptoms such as breast tenderness or swelling, joint or muscle pain, a sensation of "bloating," weight gain</w:t>
      </w:r>
    </w:p>
    <w:p w14:paraId="3854AABC" w14:textId="77777777" w:rsidR="00D45F25" w:rsidRDefault="00D45F25">
      <w:pPr>
        <w:rPr>
          <w:rFonts w:ascii="Arial" w:hAnsi="Arial" w:cs="Arial"/>
          <w:color w:val="2C2D30"/>
          <w:sz w:val="27"/>
          <w:szCs w:val="27"/>
          <w:shd w:val="clear" w:color="auto" w:fill="FFFFFF"/>
        </w:rPr>
      </w:pPr>
    </w:p>
    <w:p w14:paraId="2326B3D5" w14:textId="77777777" w:rsidR="00D45F25" w:rsidRDefault="00D45F25" w:rsidP="00D45F25">
      <w:pPr>
        <w:pStyle w:val="NormalWeb"/>
        <w:spacing w:before="0" w:beforeAutospacing="0" w:after="360" w:afterAutospacing="0"/>
        <w:rPr>
          <w:rFonts w:ascii="&amp;quot" w:hAnsi="&amp;quot"/>
          <w:color w:val="2C2D30"/>
          <w:sz w:val="27"/>
          <w:szCs w:val="27"/>
        </w:rPr>
      </w:pPr>
      <w:r>
        <w:rPr>
          <w:rFonts w:ascii="&amp;quot" w:hAnsi="&amp;quot"/>
          <w:color w:val="2C2D30"/>
          <w:sz w:val="27"/>
          <w:szCs w:val="27"/>
        </w:rPr>
        <w:lastRenderedPageBreak/>
        <w:t xml:space="preserve">B. The symptoms are associated with clinically significant distress or interferences with work, school, usual social activities or relationships with others (e.g. avoidance of social activities, decreased </w:t>
      </w:r>
      <w:hyperlink r:id="rId12" w:tooltip="Psychology Today looks at productivity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productivity</w:t>
        </w:r>
      </w:hyperlink>
      <w:r>
        <w:rPr>
          <w:rFonts w:ascii="&amp;quot" w:hAnsi="&amp;quot"/>
          <w:color w:val="2C2D30"/>
          <w:sz w:val="27"/>
          <w:szCs w:val="27"/>
        </w:rPr>
        <w:t xml:space="preserve"> and efficiency at work, school or home).</w:t>
      </w:r>
    </w:p>
    <w:p w14:paraId="1ECDBB70" w14:textId="77777777" w:rsidR="00D45F25" w:rsidRPr="00D45F25" w:rsidRDefault="00D45F25" w:rsidP="00D45F25">
      <w:pPr>
        <w:pStyle w:val="NormalWeb"/>
        <w:spacing w:before="0" w:beforeAutospacing="0" w:after="360" w:afterAutospacing="0"/>
        <w:rPr>
          <w:rFonts w:ascii="&amp;quot" w:hAnsi="&amp;quot"/>
          <w:color w:val="2C2D30"/>
          <w:sz w:val="27"/>
          <w:szCs w:val="27"/>
        </w:rPr>
      </w:pPr>
      <w:r>
        <w:rPr>
          <w:rFonts w:ascii="&amp;quot" w:hAnsi="&amp;quot"/>
          <w:color w:val="2C2D30"/>
          <w:sz w:val="27"/>
          <w:szCs w:val="27"/>
        </w:rPr>
        <w:t xml:space="preserve">C. The disturbance is not merely an exacerbation of the symptoms of another disorder, such as Major Depressive Disorder, </w:t>
      </w:r>
      <w:hyperlink r:id="rId13" w:tooltip="Psychology Today looks at Panic Disorder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Panic Disorder</w:t>
        </w:r>
      </w:hyperlink>
      <w:r>
        <w:rPr>
          <w:rFonts w:ascii="&amp;quot" w:hAnsi="&amp;quot"/>
          <w:color w:val="2C2D30"/>
          <w:sz w:val="27"/>
          <w:szCs w:val="27"/>
        </w:rPr>
        <w:t xml:space="preserve">, Dysthymic Disorder, or a </w:t>
      </w:r>
      <w:hyperlink r:id="rId14" w:tooltip="Psychology Today looks at Personality Disorder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Personality Disorder</w:t>
        </w:r>
      </w:hyperlink>
      <w:r>
        <w:rPr>
          <w:rFonts w:ascii="&amp;quot" w:hAnsi="&amp;quot"/>
          <w:color w:val="2C2D30"/>
          <w:sz w:val="27"/>
          <w:szCs w:val="27"/>
        </w:rPr>
        <w:t xml:space="preserve"> (although it may be superimposed on any of these disorders).</w:t>
      </w:r>
    </w:p>
    <w:p w14:paraId="559C6EFC" w14:textId="77777777" w:rsidR="00D45F25" w:rsidRDefault="00D45F25" w:rsidP="00D45F25">
      <w:pPr>
        <w:pStyle w:val="NormalWeb"/>
        <w:spacing w:before="0" w:beforeAutospacing="0" w:after="360" w:afterAutospacing="0"/>
        <w:rPr>
          <w:rFonts w:ascii="&amp;quot" w:hAnsi="&amp;quot"/>
          <w:color w:val="2C2D30"/>
          <w:sz w:val="27"/>
          <w:szCs w:val="27"/>
        </w:rPr>
      </w:pPr>
      <w:r>
        <w:rPr>
          <w:rFonts w:ascii="&amp;quot" w:hAnsi="&amp;quot"/>
          <w:color w:val="2C2D30"/>
          <w:sz w:val="27"/>
          <w:szCs w:val="27"/>
        </w:rPr>
        <w:t>D. Criteria A, B, and C should be confirmed by prospective daily ratings during at least two symptomatic cycles. (The diagnosis may be made provisionally prior to this confirmation.)</w:t>
      </w:r>
    </w:p>
    <w:p w14:paraId="6D5A9555" w14:textId="77777777" w:rsidR="00D45F25" w:rsidRDefault="00D45F25" w:rsidP="00D45F25">
      <w:pPr>
        <w:pStyle w:val="NormalWeb"/>
        <w:spacing w:before="0" w:beforeAutospacing="0" w:after="360" w:afterAutospacing="0"/>
        <w:rPr>
          <w:rFonts w:ascii="&amp;quot" w:hAnsi="&amp;quot"/>
          <w:color w:val="2C2D30"/>
          <w:sz w:val="27"/>
          <w:szCs w:val="27"/>
        </w:rPr>
      </w:pPr>
      <w:r>
        <w:rPr>
          <w:rFonts w:ascii="&amp;quot" w:hAnsi="&amp;quot"/>
          <w:color w:val="2C2D30"/>
          <w:sz w:val="27"/>
          <w:szCs w:val="27"/>
        </w:rPr>
        <w:t xml:space="preserve">E. The symptoms are not due to the direct physiological effects of a substance (e.g., a drug of abuse, a </w:t>
      </w:r>
      <w:hyperlink r:id="rId15" w:tooltip="Psychology Today looks at medication" w:history="1">
        <w:r>
          <w:rPr>
            <w:rStyle w:val="Hyperlink"/>
            <w:rFonts w:ascii="inherit" w:hAnsi="inherit"/>
            <w:color w:val="2C2D30"/>
            <w:sz w:val="27"/>
            <w:szCs w:val="27"/>
          </w:rPr>
          <w:t>medication</w:t>
        </w:r>
      </w:hyperlink>
      <w:r>
        <w:rPr>
          <w:rFonts w:ascii="&amp;quot" w:hAnsi="&amp;quot"/>
          <w:color w:val="2C2D30"/>
          <w:sz w:val="27"/>
          <w:szCs w:val="27"/>
        </w:rPr>
        <w:t xml:space="preserve"> or other treatment) or a general medical condition (e.g., hyperthyroidism).</w:t>
      </w:r>
    </w:p>
    <w:p w14:paraId="471FCB46" w14:textId="77777777" w:rsidR="00D45F25" w:rsidRDefault="00D45F25" w:rsidP="00D45F25">
      <w:pPr>
        <w:pStyle w:val="NormalWeb"/>
        <w:spacing w:before="0" w:beforeAutospacing="0" w:after="360" w:afterAutospacing="0"/>
        <w:rPr>
          <w:rFonts w:ascii="&amp;quot" w:hAnsi="&amp;quot"/>
          <w:color w:val="2C2D30"/>
          <w:sz w:val="27"/>
          <w:szCs w:val="27"/>
        </w:rPr>
      </w:pPr>
      <w:r>
        <w:rPr>
          <w:rFonts w:ascii="&amp;quot" w:hAnsi="&amp;quot"/>
          <w:color w:val="2C2D30"/>
          <w:sz w:val="27"/>
          <w:szCs w:val="27"/>
        </w:rPr>
        <w:t>F. In oral contraceptives users, a diagnosis of Premenstrual Dysphoric Disorder should not be made unless the premenstrual symptoms are reported to be present, and as severe, when the woman is not taking the oral contraceptive.</w:t>
      </w:r>
    </w:p>
    <w:p w14:paraId="29C61DC3" w14:textId="77777777" w:rsidR="00D45F25" w:rsidRDefault="00D45F25"/>
    <w:sectPr w:rsidR="00D4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25"/>
    <w:rsid w:val="006F5456"/>
    <w:rsid w:val="00D45F25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1D28"/>
  <w15:chartTrackingRefBased/>
  <w15:docId w15:val="{66AD565A-4AE9-4F2D-86D2-E0F2A8D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F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F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996">
          <w:blockQuote w:val="1"/>
          <w:marLeft w:val="285"/>
          <w:marRight w:val="0"/>
          <w:marTop w:val="0"/>
          <w:marBottom w:val="100"/>
          <w:divBdr>
            <w:top w:val="none" w:sz="0" w:space="0" w:color="auto"/>
            <w:left w:val="single" w:sz="36" w:space="10" w:color="EEEEEE"/>
            <w:bottom w:val="none" w:sz="0" w:space="0" w:color="auto"/>
            <w:right w:val="none" w:sz="0" w:space="0" w:color="auto"/>
          </w:divBdr>
          <w:divsChild>
            <w:div w:id="1451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asics/attention" TargetMode="External"/><Relationship Id="rId13" Type="http://schemas.openxmlformats.org/officeDocument/2006/relationships/hyperlink" Target="https://www.psychologytoday.com/us/conditions/panic-disor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ychologytoday.com/us/basics/anger" TargetMode="External"/><Relationship Id="rId12" Type="http://schemas.openxmlformats.org/officeDocument/2006/relationships/hyperlink" Target="https://www.psychologytoday.com/us/basics/productivit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us/basics/psychiatry" TargetMode="External"/><Relationship Id="rId11" Type="http://schemas.openxmlformats.org/officeDocument/2006/relationships/hyperlink" Target="https://www.psychologytoday.com/us/basics/insomnia" TargetMode="External"/><Relationship Id="rId5" Type="http://schemas.openxmlformats.org/officeDocument/2006/relationships/hyperlink" Target="https://www.psychologytoday.com/us/basics/anxiety" TargetMode="External"/><Relationship Id="rId15" Type="http://schemas.openxmlformats.org/officeDocument/2006/relationships/hyperlink" Target="https://www.psychologytoday.com/us/basics/psychopharmacology" TargetMode="External"/><Relationship Id="rId10" Type="http://schemas.openxmlformats.org/officeDocument/2006/relationships/hyperlink" Target="https://www.psychologytoday.com/us/conditions/hypersomnolence" TargetMode="External"/><Relationship Id="rId4" Type="http://schemas.openxmlformats.org/officeDocument/2006/relationships/hyperlink" Target="https://www.psychologytoday.com/us/basics/depression" TargetMode="External"/><Relationship Id="rId9" Type="http://schemas.openxmlformats.org/officeDocument/2006/relationships/hyperlink" Target="https://www.psychologytoday.com/us/basics/appetite" TargetMode="External"/><Relationship Id="rId14" Type="http://schemas.openxmlformats.org/officeDocument/2006/relationships/hyperlink" Target="https://www.psychologytoday.com/us/basics/personality-dis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2</cp:revision>
  <dcterms:created xsi:type="dcterms:W3CDTF">2019-10-09T23:40:00Z</dcterms:created>
  <dcterms:modified xsi:type="dcterms:W3CDTF">2019-10-09T23:44:00Z</dcterms:modified>
</cp:coreProperties>
</file>